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C1" w:rsidRPr="007E60F2" w:rsidRDefault="00121F86">
      <w:pPr>
        <w:pStyle w:val="Heading2"/>
        <w:spacing w:before="120" w:line="320" w:lineRule="exact"/>
        <w:rPr>
          <w:rFonts w:ascii="Garamond" w:hAnsi="Garamond" w:cs="Tahoma"/>
          <w:sz w:val="36"/>
        </w:rPr>
      </w:pPr>
      <w:r>
        <w:rPr>
          <w:rFonts w:ascii="Garamond" w:hAnsi="Garamond" w:cs="Tahoma"/>
          <w:sz w:val="36"/>
        </w:rPr>
        <w:t>XLRI Jamshedpur – GMP 2015-16</w:t>
      </w:r>
      <w:bookmarkStart w:id="0" w:name="_GoBack"/>
      <w:bookmarkEnd w:id="0"/>
    </w:p>
    <w:p w:rsidR="00052BC1" w:rsidRPr="007E60F2" w:rsidRDefault="000902B5">
      <w:pPr>
        <w:pStyle w:val="Heading1"/>
        <w:spacing w:before="120" w:line="320" w:lineRule="exact"/>
        <w:rPr>
          <w:rFonts w:ascii="Garamond" w:hAnsi="Garamond"/>
          <w:b w:val="0"/>
          <w:bCs w:val="0"/>
          <w:sz w:val="32"/>
        </w:rPr>
      </w:pPr>
      <w:r>
        <w:rPr>
          <w:rFonts w:ascii="Garamond" w:hAnsi="Garamond"/>
          <w:sz w:val="32"/>
        </w:rPr>
        <w:t>Mi</w:t>
      </w:r>
      <w:r w:rsidR="005C63A6" w:rsidRPr="007E60F2">
        <w:rPr>
          <w:rFonts w:ascii="Garamond" w:hAnsi="Garamond"/>
          <w:sz w:val="32"/>
        </w:rPr>
        <w:t>d-Term Examination</w:t>
      </w:r>
      <w:r w:rsidR="00052BC1" w:rsidRPr="007E60F2">
        <w:rPr>
          <w:rFonts w:ascii="Garamond" w:hAnsi="Garamond"/>
          <w:sz w:val="32"/>
        </w:rPr>
        <w:t xml:space="preserve">, Time: </w:t>
      </w:r>
      <w:r>
        <w:rPr>
          <w:rFonts w:ascii="Garamond" w:hAnsi="Garamond"/>
          <w:sz w:val="32"/>
        </w:rPr>
        <w:t>9</w:t>
      </w:r>
      <w:r w:rsidR="00052BC1" w:rsidRPr="007E60F2">
        <w:rPr>
          <w:rFonts w:ascii="Garamond" w:hAnsi="Garamond"/>
          <w:sz w:val="32"/>
        </w:rPr>
        <w:t xml:space="preserve">0 Minutes, Total </w:t>
      </w:r>
      <w:r>
        <w:rPr>
          <w:rFonts w:ascii="Garamond" w:hAnsi="Garamond"/>
          <w:sz w:val="32"/>
        </w:rPr>
        <w:t>Weightage in Evaluation</w:t>
      </w:r>
      <w:r w:rsidR="00052BC1" w:rsidRPr="007E60F2">
        <w:rPr>
          <w:rFonts w:ascii="Garamond" w:hAnsi="Garamond"/>
          <w:sz w:val="32"/>
        </w:rPr>
        <w:t xml:space="preserve">: </w:t>
      </w:r>
      <w:r>
        <w:rPr>
          <w:rFonts w:ascii="Garamond" w:hAnsi="Garamond"/>
          <w:sz w:val="32"/>
        </w:rPr>
        <w:t>15%</w:t>
      </w:r>
    </w:p>
    <w:p w:rsidR="00052BC1" w:rsidRPr="007E60F2" w:rsidRDefault="00052BC1">
      <w:pPr>
        <w:spacing w:before="120" w:line="240" w:lineRule="exact"/>
        <w:jc w:val="both"/>
        <w:rPr>
          <w:rFonts w:ascii="Tahoma" w:hAnsi="Tahoma" w:cs="Tahoma"/>
          <w:sz w:val="20"/>
        </w:rPr>
      </w:pPr>
    </w:p>
    <w:p w:rsidR="00052BC1" w:rsidRPr="007E60F2" w:rsidRDefault="00052BC1">
      <w:pPr>
        <w:pStyle w:val="BodyText2"/>
        <w:rPr>
          <w:rFonts w:ascii="Garamond" w:hAnsi="Garamond"/>
          <w:caps/>
          <w:sz w:val="28"/>
        </w:rPr>
      </w:pPr>
      <w:r w:rsidRPr="007E60F2">
        <w:rPr>
          <w:rFonts w:ascii="Garamond" w:hAnsi="Garamond"/>
          <w:caps/>
          <w:sz w:val="28"/>
        </w:rPr>
        <w:t>Name: ____________________________</w:t>
      </w:r>
      <w:r w:rsidRPr="007E60F2">
        <w:rPr>
          <w:rFonts w:ascii="Garamond" w:hAnsi="Garamond"/>
          <w:caps/>
          <w:sz w:val="28"/>
        </w:rPr>
        <w:tab/>
      </w:r>
      <w:r w:rsidRPr="007E60F2">
        <w:rPr>
          <w:rFonts w:ascii="Garamond" w:hAnsi="Garamond"/>
          <w:caps/>
          <w:sz w:val="28"/>
        </w:rPr>
        <w:tab/>
      </w:r>
      <w:r w:rsidRPr="007E60F2">
        <w:rPr>
          <w:rFonts w:ascii="Garamond" w:hAnsi="Garamond"/>
          <w:caps/>
          <w:sz w:val="28"/>
        </w:rPr>
        <w:tab/>
      </w:r>
      <w:r w:rsidRPr="007E60F2">
        <w:rPr>
          <w:rFonts w:ascii="Garamond" w:hAnsi="Garamond"/>
          <w:caps/>
          <w:sz w:val="28"/>
        </w:rPr>
        <w:tab/>
        <w:t xml:space="preserve">    </w:t>
      </w:r>
      <w:r w:rsidR="00FA4CBC">
        <w:rPr>
          <w:rFonts w:ascii="Garamond" w:hAnsi="Garamond"/>
          <w:caps/>
          <w:sz w:val="28"/>
        </w:rPr>
        <w:tab/>
      </w:r>
      <w:r w:rsidR="00FA4CBC">
        <w:rPr>
          <w:rFonts w:ascii="Garamond" w:hAnsi="Garamond"/>
          <w:caps/>
          <w:sz w:val="28"/>
        </w:rPr>
        <w:tab/>
      </w:r>
      <w:r w:rsidR="00FA4CBC">
        <w:rPr>
          <w:rFonts w:ascii="Garamond" w:hAnsi="Garamond"/>
          <w:caps/>
          <w:sz w:val="28"/>
        </w:rPr>
        <w:tab/>
      </w:r>
      <w:r w:rsidR="00FA4CBC">
        <w:rPr>
          <w:rFonts w:ascii="Garamond" w:hAnsi="Garamond"/>
          <w:caps/>
          <w:sz w:val="28"/>
        </w:rPr>
        <w:tab/>
      </w:r>
      <w:r w:rsidR="00FA4CBC">
        <w:rPr>
          <w:rFonts w:ascii="Garamond" w:hAnsi="Garamond"/>
          <w:caps/>
          <w:sz w:val="28"/>
        </w:rPr>
        <w:tab/>
      </w:r>
      <w:r w:rsidR="00FA4CBC">
        <w:rPr>
          <w:rFonts w:ascii="Garamond" w:hAnsi="Garamond"/>
          <w:caps/>
          <w:sz w:val="28"/>
        </w:rPr>
        <w:tab/>
      </w:r>
      <w:r w:rsidR="00FA4CBC">
        <w:rPr>
          <w:rFonts w:ascii="Garamond" w:hAnsi="Garamond"/>
          <w:caps/>
          <w:sz w:val="28"/>
        </w:rPr>
        <w:tab/>
      </w:r>
      <w:r w:rsidR="00FA4CBC">
        <w:rPr>
          <w:rFonts w:ascii="Garamond" w:hAnsi="Garamond"/>
          <w:caps/>
          <w:sz w:val="28"/>
        </w:rPr>
        <w:tab/>
      </w:r>
      <w:r w:rsidRPr="007E60F2">
        <w:rPr>
          <w:rFonts w:ascii="Garamond" w:hAnsi="Garamond"/>
          <w:caps/>
          <w:sz w:val="28"/>
        </w:rPr>
        <w:t>Roll # _____</w:t>
      </w:r>
    </w:p>
    <w:p w:rsidR="0032721B" w:rsidRPr="007E60F2" w:rsidRDefault="0032721B">
      <w:pPr>
        <w:pStyle w:val="BodyText2"/>
        <w:rPr>
          <w:rFonts w:ascii="Garamond" w:hAnsi="Garamond"/>
          <w:caps/>
          <w:sz w:val="28"/>
        </w:rPr>
      </w:pPr>
    </w:p>
    <w:p w:rsidR="00052BC1" w:rsidRPr="007E60F2" w:rsidRDefault="00052BC1">
      <w:pPr>
        <w:pStyle w:val="Heading3"/>
        <w:pBdr>
          <w:top w:val="single" w:sz="4" w:space="1" w:color="auto"/>
          <w:left w:val="single" w:sz="4" w:space="4" w:color="auto"/>
          <w:bottom w:val="single" w:sz="4" w:space="1" w:color="auto"/>
          <w:right w:val="single" w:sz="4" w:space="4" w:color="auto"/>
        </w:pBdr>
        <w:spacing w:line="240" w:lineRule="exact"/>
        <w:rPr>
          <w:bCs w:val="0"/>
          <w:caps/>
          <w:sz w:val="24"/>
        </w:rPr>
      </w:pPr>
      <w:r w:rsidRPr="007E60F2">
        <w:rPr>
          <w:bCs w:val="0"/>
          <w:caps/>
          <w:sz w:val="24"/>
        </w:rPr>
        <w:t>Instructions</w:t>
      </w:r>
    </w:p>
    <w:p w:rsidR="00052BC1" w:rsidRPr="007E60F2" w:rsidRDefault="00052BC1">
      <w:pPr>
        <w:pStyle w:val="Heading3"/>
        <w:pBdr>
          <w:top w:val="single" w:sz="4" w:space="1" w:color="auto"/>
          <w:left w:val="single" w:sz="4" w:space="4" w:color="auto"/>
          <w:bottom w:val="single" w:sz="4" w:space="1" w:color="auto"/>
          <w:right w:val="single" w:sz="4" w:space="4" w:color="auto"/>
        </w:pBdr>
        <w:spacing w:after="120"/>
        <w:jc w:val="both"/>
        <w:rPr>
          <w:b w:val="0"/>
          <w:bCs w:val="0"/>
          <w:sz w:val="24"/>
          <w:u w:val="none"/>
        </w:rPr>
      </w:pPr>
      <w:r w:rsidRPr="007E60F2">
        <w:rPr>
          <w:bCs w:val="0"/>
          <w:sz w:val="24"/>
          <w:u w:val="none"/>
        </w:rPr>
        <w:t>This is a</w:t>
      </w:r>
      <w:r w:rsidR="000902B5">
        <w:rPr>
          <w:bCs w:val="0"/>
          <w:sz w:val="24"/>
          <w:u w:val="none"/>
        </w:rPr>
        <w:t>n</w:t>
      </w:r>
      <w:r w:rsidR="00951D8D" w:rsidRPr="007E60F2">
        <w:rPr>
          <w:bCs w:val="0"/>
          <w:sz w:val="24"/>
          <w:u w:val="none"/>
        </w:rPr>
        <w:t xml:space="preserve"> </w:t>
      </w:r>
      <w:r w:rsidR="000902B5">
        <w:rPr>
          <w:bCs w:val="0"/>
          <w:sz w:val="24"/>
          <w:u w:val="none"/>
        </w:rPr>
        <w:t>open</w:t>
      </w:r>
      <w:r w:rsidRPr="007E60F2">
        <w:rPr>
          <w:bCs w:val="0"/>
          <w:sz w:val="24"/>
          <w:u w:val="none"/>
        </w:rPr>
        <w:t xml:space="preserve"> </w:t>
      </w:r>
      <w:r w:rsidR="000902B5">
        <w:rPr>
          <w:bCs w:val="0"/>
          <w:sz w:val="24"/>
          <w:u w:val="none"/>
        </w:rPr>
        <w:t xml:space="preserve">text </w:t>
      </w:r>
      <w:r w:rsidRPr="007E60F2">
        <w:rPr>
          <w:bCs w:val="0"/>
          <w:sz w:val="24"/>
          <w:u w:val="none"/>
        </w:rPr>
        <w:t>book examination</w:t>
      </w:r>
      <w:r w:rsidR="002603E9" w:rsidRPr="007E60F2">
        <w:rPr>
          <w:bCs w:val="0"/>
          <w:sz w:val="24"/>
          <w:u w:val="none"/>
        </w:rPr>
        <w:t xml:space="preserve">. </w:t>
      </w:r>
      <w:r w:rsidR="00951D8D" w:rsidRPr="007E60F2">
        <w:rPr>
          <w:b w:val="0"/>
          <w:bCs w:val="0"/>
          <w:sz w:val="24"/>
          <w:u w:val="none"/>
        </w:rPr>
        <w:t>Y</w:t>
      </w:r>
      <w:r w:rsidRPr="007E60F2">
        <w:rPr>
          <w:b w:val="0"/>
          <w:bCs w:val="0"/>
          <w:sz w:val="24"/>
          <w:u w:val="none"/>
        </w:rPr>
        <w:t xml:space="preserve">ou are not allowed to borrow calculators, </w:t>
      </w:r>
      <w:r w:rsidR="00951D8D" w:rsidRPr="007E60F2">
        <w:rPr>
          <w:b w:val="0"/>
          <w:bCs w:val="0"/>
          <w:sz w:val="24"/>
          <w:u w:val="none"/>
        </w:rPr>
        <w:t>paper</w:t>
      </w:r>
      <w:r w:rsidRPr="007E60F2">
        <w:rPr>
          <w:b w:val="0"/>
          <w:bCs w:val="0"/>
          <w:sz w:val="24"/>
          <w:u w:val="none"/>
        </w:rPr>
        <w:t>s, etc.</w:t>
      </w:r>
      <w:r w:rsidR="002F248D">
        <w:rPr>
          <w:b w:val="0"/>
          <w:bCs w:val="0"/>
          <w:sz w:val="24"/>
          <w:u w:val="none"/>
        </w:rPr>
        <w:t xml:space="preserve"> Neither </w:t>
      </w:r>
      <w:proofErr w:type="gramStart"/>
      <w:r w:rsidR="002F248D">
        <w:rPr>
          <w:b w:val="0"/>
          <w:bCs w:val="0"/>
          <w:sz w:val="24"/>
          <w:u w:val="none"/>
        </w:rPr>
        <w:t>you are</w:t>
      </w:r>
      <w:proofErr w:type="gramEnd"/>
      <w:r w:rsidR="002F248D">
        <w:rPr>
          <w:b w:val="0"/>
          <w:bCs w:val="0"/>
          <w:sz w:val="24"/>
          <w:u w:val="none"/>
        </w:rPr>
        <w:t xml:space="preserve"> allowed to bring/borrow any handwritten notes / other notes / other text books.</w:t>
      </w:r>
      <w:r w:rsidRPr="007E60F2">
        <w:rPr>
          <w:b w:val="0"/>
          <w:bCs w:val="0"/>
          <w:sz w:val="24"/>
          <w:u w:val="none"/>
        </w:rPr>
        <w:t xml:space="preserve"> </w:t>
      </w:r>
      <w:r w:rsidRPr="007E60F2">
        <w:rPr>
          <w:bCs w:val="0"/>
          <w:sz w:val="24"/>
          <w:u w:val="none"/>
        </w:rPr>
        <w:t>Answer all questions</w:t>
      </w:r>
      <w:r w:rsidR="00A70BCB" w:rsidRPr="007E60F2">
        <w:rPr>
          <w:bCs w:val="0"/>
          <w:sz w:val="24"/>
          <w:u w:val="none"/>
        </w:rPr>
        <w:t xml:space="preserve"> to the point (in the space given below the question itself)</w:t>
      </w:r>
      <w:r w:rsidR="002603E9" w:rsidRPr="007E60F2">
        <w:rPr>
          <w:bCs w:val="0"/>
          <w:sz w:val="24"/>
          <w:u w:val="none"/>
        </w:rPr>
        <w:t>.</w:t>
      </w:r>
    </w:p>
    <w:p w:rsidR="00052BC1" w:rsidRPr="007E60F2" w:rsidRDefault="00052BC1">
      <w:pPr>
        <w:pStyle w:val="Heading3"/>
        <w:pBdr>
          <w:top w:val="single" w:sz="4" w:space="1" w:color="auto"/>
          <w:left w:val="single" w:sz="4" w:space="4" w:color="auto"/>
          <w:bottom w:val="single" w:sz="4" w:space="1" w:color="auto"/>
          <w:right w:val="single" w:sz="4" w:space="4" w:color="auto"/>
        </w:pBdr>
        <w:spacing w:after="120"/>
        <w:jc w:val="both"/>
        <w:rPr>
          <w:sz w:val="24"/>
          <w:u w:val="none"/>
        </w:rPr>
      </w:pPr>
      <w:r w:rsidRPr="007E60F2">
        <w:rPr>
          <w:b w:val="0"/>
          <w:bCs w:val="0"/>
          <w:sz w:val="24"/>
          <w:u w:val="none"/>
        </w:rPr>
        <w:t>Anyone who resorts to unfair practices, as judged by the examiner, the minimum penalty will be zero in this segment of evaluation, while the maximum penalty could be expulsion from the institute. There will be no further warnings.</w:t>
      </w:r>
    </w:p>
    <w:p w:rsidR="005264BF" w:rsidRPr="007E60F2" w:rsidRDefault="005264BF">
      <w:pPr>
        <w:spacing w:before="120" w:line="280" w:lineRule="exact"/>
        <w:jc w:val="both"/>
        <w:rPr>
          <w:rFonts w:ascii="Tahoma" w:hAnsi="Tahoma" w:cs="Tahoma"/>
          <w:sz w:val="20"/>
        </w:rPr>
      </w:pPr>
    </w:p>
    <w:p w:rsidR="00027204" w:rsidRPr="007E60F2" w:rsidRDefault="00951D8D" w:rsidP="00027204">
      <w:pPr>
        <w:spacing w:before="120" w:line="280" w:lineRule="exact"/>
        <w:jc w:val="center"/>
        <w:rPr>
          <w:rFonts w:ascii="Tahoma" w:hAnsi="Tahoma" w:cs="Tahoma"/>
          <w:b/>
          <w:bCs/>
          <w:caps/>
          <w:sz w:val="22"/>
          <w:szCs w:val="22"/>
          <w:u w:val="single"/>
        </w:rPr>
      </w:pPr>
      <w:r w:rsidRPr="007E60F2">
        <w:rPr>
          <w:rFonts w:ascii="Tahoma" w:hAnsi="Tahoma" w:cs="Tahoma"/>
          <w:b/>
          <w:bCs/>
          <w:caps/>
          <w:sz w:val="22"/>
          <w:szCs w:val="22"/>
          <w:u w:val="single"/>
        </w:rPr>
        <w:t>Part</w:t>
      </w:r>
      <w:r w:rsidR="000902B5">
        <w:rPr>
          <w:rFonts w:ascii="Tahoma" w:hAnsi="Tahoma" w:cs="Tahoma"/>
          <w:b/>
          <w:bCs/>
          <w:caps/>
          <w:sz w:val="22"/>
          <w:szCs w:val="22"/>
          <w:u w:val="single"/>
        </w:rPr>
        <w:t xml:space="preserve"> </w:t>
      </w:r>
      <w:r w:rsidR="00112FC1" w:rsidRPr="007E60F2">
        <w:rPr>
          <w:rFonts w:ascii="Tahoma" w:hAnsi="Tahoma" w:cs="Tahoma"/>
          <w:b/>
          <w:bCs/>
          <w:caps/>
          <w:sz w:val="22"/>
          <w:szCs w:val="22"/>
          <w:u w:val="single"/>
        </w:rPr>
        <w:t>I</w:t>
      </w:r>
    </w:p>
    <w:p w:rsidR="00112FC1" w:rsidRPr="007E60F2" w:rsidRDefault="00112FC1" w:rsidP="00112FC1">
      <w:pPr>
        <w:jc w:val="right"/>
      </w:pPr>
      <w:r w:rsidRPr="007E60F2">
        <w:t xml:space="preserve">[For this part, </w:t>
      </w:r>
      <w:r w:rsidR="000902B5">
        <w:t xml:space="preserve">each correct answer is +1 mark, each wrong answer </w:t>
      </w:r>
      <w:r w:rsidRPr="007E60F2">
        <w:t xml:space="preserve">is </w:t>
      </w:r>
      <w:r w:rsidR="000902B5">
        <w:t>–½ mark</w:t>
      </w:r>
      <w:r w:rsidRPr="007E60F2">
        <w:t xml:space="preserve">] </w:t>
      </w:r>
    </w:p>
    <w:p w:rsidR="00027204" w:rsidRPr="007E60F2" w:rsidRDefault="00027204" w:rsidP="00027204">
      <w:pPr>
        <w:spacing w:before="120" w:line="280" w:lineRule="exact"/>
        <w:jc w:val="both"/>
        <w:rPr>
          <w:rFonts w:ascii="Tahoma" w:hAnsi="Tahoma" w:cs="Tahoma"/>
          <w:sz w:val="22"/>
          <w:szCs w:val="22"/>
        </w:rPr>
      </w:pPr>
      <w:r w:rsidRPr="007E60F2">
        <w:rPr>
          <w:rFonts w:ascii="Tahoma" w:hAnsi="Tahoma" w:cs="Tahoma"/>
          <w:sz w:val="22"/>
          <w:szCs w:val="22"/>
          <w:u w:val="single"/>
        </w:rPr>
        <w:t>Instructions</w:t>
      </w:r>
      <w:r w:rsidRPr="007E60F2">
        <w:rPr>
          <w:rFonts w:ascii="Tahoma" w:hAnsi="Tahoma" w:cs="Tahoma"/>
          <w:sz w:val="22"/>
          <w:szCs w:val="22"/>
        </w:rPr>
        <w:t>: Match the concept given below, with the examples/ explanation by writing the appropriate alphabet on the left of the examples. For each example – there is only one most appropriate concept (and for each concept, there is only one most appropriate example</w:t>
      </w:r>
      <w:r w:rsidR="000902B5">
        <w:rPr>
          <w:rFonts w:ascii="Tahoma" w:hAnsi="Tahoma" w:cs="Tahoma"/>
          <w:sz w:val="22"/>
          <w:szCs w:val="22"/>
        </w:rPr>
        <w:t>/explanation). Please write a few words in the logic/reasoning column as well.</w:t>
      </w:r>
    </w:p>
    <w:p w:rsidR="00027204" w:rsidRPr="007E60F2" w:rsidRDefault="00027204" w:rsidP="00027204">
      <w:pPr>
        <w:spacing w:before="120" w:line="280" w:lineRule="exact"/>
        <w:ind w:left="360"/>
        <w:jc w:val="right"/>
        <w:rPr>
          <w:rFonts w:ascii="Tahoma" w:hAnsi="Tahoma" w:cs="Tahoma"/>
          <w:sz w:val="22"/>
          <w:szCs w:val="22"/>
        </w:rPr>
      </w:pPr>
    </w:p>
    <w:tbl>
      <w:tblPr>
        <w:tblStyle w:val="TableGrid"/>
        <w:tblW w:w="0" w:type="auto"/>
        <w:tblLook w:val="01E0" w:firstRow="1" w:lastRow="1" w:firstColumn="1" w:lastColumn="1" w:noHBand="0" w:noVBand="0"/>
      </w:tblPr>
      <w:tblGrid>
        <w:gridCol w:w="1314"/>
        <w:gridCol w:w="2073"/>
        <w:gridCol w:w="5895"/>
        <w:gridCol w:w="5757"/>
      </w:tblGrid>
      <w:tr w:rsidR="000902B5" w:rsidRPr="007E60F2" w:rsidTr="000902B5">
        <w:trPr>
          <w:tblHeader/>
        </w:trPr>
        <w:tc>
          <w:tcPr>
            <w:tcW w:w="0" w:type="auto"/>
          </w:tcPr>
          <w:p w:rsidR="000902B5" w:rsidRPr="007E60F2" w:rsidRDefault="000902B5" w:rsidP="00DD2B17">
            <w:pPr>
              <w:spacing w:before="20" w:after="20" w:line="276" w:lineRule="auto"/>
              <w:jc w:val="center"/>
              <w:rPr>
                <w:b/>
                <w:caps/>
              </w:rPr>
            </w:pPr>
            <w:r w:rsidRPr="007E60F2">
              <w:rPr>
                <w:b/>
              </w:rPr>
              <w:t>Your Response</w:t>
            </w:r>
          </w:p>
        </w:tc>
        <w:tc>
          <w:tcPr>
            <w:tcW w:w="0" w:type="auto"/>
          </w:tcPr>
          <w:p w:rsidR="000902B5" w:rsidRPr="007E60F2" w:rsidRDefault="000902B5" w:rsidP="00F35C18">
            <w:pPr>
              <w:spacing w:before="20" w:after="20" w:line="276" w:lineRule="auto"/>
              <w:jc w:val="center"/>
              <w:rPr>
                <w:b/>
                <w:caps/>
              </w:rPr>
            </w:pPr>
            <w:r>
              <w:rPr>
                <w:b/>
                <w:caps/>
              </w:rPr>
              <w:t>Your logic / reasoning</w:t>
            </w:r>
          </w:p>
        </w:tc>
        <w:tc>
          <w:tcPr>
            <w:tcW w:w="0" w:type="auto"/>
          </w:tcPr>
          <w:p w:rsidR="000902B5" w:rsidRPr="007E60F2" w:rsidRDefault="000902B5" w:rsidP="00DD2B17">
            <w:pPr>
              <w:spacing w:before="20" w:after="20" w:line="276" w:lineRule="auto"/>
              <w:jc w:val="center"/>
              <w:rPr>
                <w:b/>
                <w:caps/>
              </w:rPr>
            </w:pPr>
            <w:r w:rsidRPr="007E60F2">
              <w:rPr>
                <w:b/>
              </w:rPr>
              <w:t>Concept / Issue</w:t>
            </w:r>
          </w:p>
        </w:tc>
        <w:tc>
          <w:tcPr>
            <w:tcW w:w="0" w:type="auto"/>
          </w:tcPr>
          <w:p w:rsidR="000902B5" w:rsidRPr="007E60F2" w:rsidRDefault="000902B5" w:rsidP="00DD2B17">
            <w:pPr>
              <w:spacing w:before="20" w:after="20" w:line="276" w:lineRule="auto"/>
              <w:jc w:val="center"/>
              <w:rPr>
                <w:b/>
              </w:rPr>
            </w:pPr>
            <w:r w:rsidRPr="007E60F2">
              <w:rPr>
                <w:b/>
              </w:rPr>
              <w:t>Example / Explanation / Illustration / Agenda</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Default="000902B5" w:rsidP="00F35C18">
            <w:pPr>
              <w:spacing w:before="20" w:after="20" w:line="276" w:lineRule="auto"/>
              <w:jc w:val="both"/>
              <w:rPr>
                <w:bCs/>
              </w:rPr>
            </w:pPr>
          </w:p>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Limitation of Valuation</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Valuing control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Default="000902B5" w:rsidP="00F35C18">
            <w:pPr>
              <w:spacing w:before="20" w:after="20" w:line="276" w:lineRule="auto"/>
              <w:jc w:val="both"/>
              <w:rPr>
                <w:bCs/>
              </w:rPr>
            </w:pPr>
          </w:p>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 xml:space="preserve">Slightly longer time frame </w:t>
            </w:r>
            <w:proofErr w:type="spellStart"/>
            <w:r w:rsidRPr="007E60F2">
              <w:rPr>
                <w:bCs/>
              </w:rPr>
              <w:t>mis</w:t>
            </w:r>
            <w:proofErr w:type="spellEnd"/>
            <w:r w:rsidRPr="007E60F2">
              <w:rPr>
                <w:bCs/>
              </w:rPr>
              <w:t xml:space="preserve">-pricing is created by a few market participants (using information asymmetry and large complexity) – to make things opaque (and thus, create temporary asset </w:t>
            </w:r>
            <w:proofErr w:type="spellStart"/>
            <w:r w:rsidRPr="007E60F2">
              <w:rPr>
                <w:bCs/>
              </w:rPr>
              <w:t>mis</w:t>
            </w:r>
            <w:proofErr w:type="spellEnd"/>
            <w:r w:rsidRPr="007E60F2">
              <w:rPr>
                <w:bCs/>
              </w:rPr>
              <w:t>-pricing)</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Adjust CF to reflect business restructuring and discount rate to reflect financial restructuring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Default="000902B5" w:rsidP="00F35C18">
            <w:pPr>
              <w:spacing w:before="20" w:after="20" w:line="276" w:lineRule="auto"/>
              <w:jc w:val="both"/>
              <w:rPr>
                <w:bCs/>
              </w:rPr>
            </w:pPr>
          </w:p>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lastRenderedPageBreak/>
              <w:t>Firms with patents and product options</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Firms like Reliance Industries Limited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Firms in the process of restructuring</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Get the value of these externally and add [or] better, real options pricing model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Firms involved in acquisitions</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(a) incorporate in FCF’s; and (b) incorporate in risk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Default="000902B5" w:rsidP="00DD2B17">
            <w:pPr>
              <w:spacing w:before="20" w:after="20" w:line="276" w:lineRule="auto"/>
              <w:jc w:val="both"/>
              <w:rPr>
                <w:bCs/>
              </w:rPr>
            </w:pPr>
            <w:r w:rsidRPr="007E60F2">
              <w:rPr>
                <w:bCs/>
              </w:rPr>
              <w:t>Private firms:</w:t>
            </w:r>
          </w:p>
          <w:p w:rsidR="006C3558" w:rsidRPr="007E60F2" w:rsidRDefault="006C3558" w:rsidP="00DD2B17">
            <w:pPr>
              <w:spacing w:before="20" w:after="20" w:line="276" w:lineRule="auto"/>
              <w:jc w:val="both"/>
              <w:rPr>
                <w:bCs/>
              </w:rPr>
            </w:pP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Get the value of these assets externally and add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Value of Firm</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Take riskiness of comparable firms that are publicly traded [or] relate the measure of risk to accounting variables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Firms with unutilized assets</w:t>
            </w:r>
          </w:p>
          <w:p w:rsidR="000902B5" w:rsidRPr="007E60F2" w:rsidRDefault="000902B5" w:rsidP="00DD2B17">
            <w:pPr>
              <w:spacing w:before="20" w:after="20" w:line="276" w:lineRule="auto"/>
              <w:jc w:val="both"/>
              <w:rPr>
                <w:bCs/>
              </w:rPr>
            </w:pP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Use CF of Firm and WACC as discounting rate</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Default="000902B5" w:rsidP="00F35C18">
            <w:pPr>
              <w:spacing w:before="20" w:after="20" w:line="276" w:lineRule="auto"/>
              <w:jc w:val="both"/>
              <w:rPr>
                <w:bCs/>
              </w:rPr>
            </w:pPr>
          </w:p>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Modifications for … Firms in trouble</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 xml:space="preserve">Estimate cash flow until they turn positive </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Default="000902B5" w:rsidP="00F35C18">
            <w:pPr>
              <w:spacing w:before="20" w:after="20" w:line="276" w:lineRule="auto"/>
              <w:jc w:val="both"/>
              <w:rPr>
                <w:bCs/>
              </w:rPr>
            </w:pPr>
          </w:p>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 xml:space="preserve">Macroeconomic uncertainty </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FCF are usually smoothened out</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 xml:space="preserve">Firm-specific uncertainty </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Errors while converting raw information into inputs and use these inputs in models  (common in valuing young technology company)</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rPr>
                <w:bCs/>
              </w:rPr>
              <w:t>Cyclical Firms</w:t>
            </w:r>
          </w:p>
          <w:p w:rsidR="000902B5" w:rsidRPr="007E60F2" w:rsidRDefault="000902B5" w:rsidP="00DD2B17">
            <w:pPr>
              <w:spacing w:before="20" w:after="20" w:line="276" w:lineRule="auto"/>
              <w:jc w:val="both"/>
              <w:rPr>
                <w:bCs/>
              </w:rPr>
            </w:pP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The path that we envision for the firm can prove to be hopelessly wrong. (common in situations of information asymmetry for us vis-à-vis market participants)</w:t>
            </w:r>
          </w:p>
        </w:tc>
      </w:tr>
      <w:tr w:rsidR="000902B5" w:rsidRPr="007E60F2" w:rsidTr="000902B5">
        <w:tc>
          <w:tcPr>
            <w:tcW w:w="0" w:type="auto"/>
          </w:tcPr>
          <w:p w:rsidR="000902B5" w:rsidRPr="007E60F2" w:rsidRDefault="000902B5" w:rsidP="00DD2B17">
            <w:pPr>
              <w:spacing w:before="20" w:after="20" w:line="276" w:lineRule="auto"/>
              <w:rPr>
                <w:bCs/>
                <w:u w:val="single"/>
              </w:rPr>
            </w:pPr>
          </w:p>
        </w:tc>
        <w:tc>
          <w:tcPr>
            <w:tcW w:w="0" w:type="auto"/>
          </w:tcPr>
          <w:p w:rsidR="000902B5" w:rsidRPr="007E60F2" w:rsidRDefault="000902B5" w:rsidP="00F35C18">
            <w:pPr>
              <w:spacing w:before="20" w:after="20" w:line="276" w:lineRule="auto"/>
              <w:jc w:val="both"/>
              <w:rPr>
                <w:bCs/>
              </w:rPr>
            </w:pPr>
          </w:p>
        </w:tc>
        <w:tc>
          <w:tcPr>
            <w:tcW w:w="0" w:type="auto"/>
          </w:tcPr>
          <w:p w:rsidR="000902B5" w:rsidRPr="007E60F2" w:rsidRDefault="000902B5" w:rsidP="00DD2B17">
            <w:pPr>
              <w:spacing w:before="20" w:after="20" w:line="276" w:lineRule="auto"/>
              <w:jc w:val="both"/>
              <w:rPr>
                <w:bCs/>
              </w:rPr>
            </w:pPr>
            <w:r w:rsidRPr="007E60F2">
              <w:t>Estimation uncertainty</w:t>
            </w:r>
            <w:r w:rsidRPr="007E60F2">
              <w:rPr>
                <w:bCs/>
              </w:rPr>
              <w:t xml:space="preserve"> </w:t>
            </w:r>
          </w:p>
        </w:tc>
        <w:tc>
          <w:tcPr>
            <w:tcW w:w="0" w:type="auto"/>
          </w:tcPr>
          <w:p w:rsidR="000902B5" w:rsidRPr="007E60F2" w:rsidRDefault="000902B5" w:rsidP="00DD2B17">
            <w:pPr>
              <w:pStyle w:val="ListParagraph"/>
              <w:numPr>
                <w:ilvl w:val="0"/>
                <w:numId w:val="1"/>
              </w:numPr>
              <w:spacing w:before="20" w:after="20" w:line="276" w:lineRule="auto"/>
              <w:ind w:left="170" w:hanging="57"/>
              <w:jc w:val="both"/>
              <w:rPr>
                <w:bCs/>
              </w:rPr>
            </w:pPr>
            <w:r w:rsidRPr="007E60F2">
              <w:rPr>
                <w:bCs/>
              </w:rPr>
              <w:t>Macroeconomic environment can change in unpredictable ways (common in mature cyclical or commodity company)</w:t>
            </w:r>
          </w:p>
        </w:tc>
      </w:tr>
    </w:tbl>
    <w:p w:rsidR="00027204" w:rsidRPr="007E60F2" w:rsidRDefault="00027204" w:rsidP="00027204">
      <w:pPr>
        <w:rPr>
          <w:rFonts w:ascii="Tahoma" w:hAnsi="Tahoma" w:cs="Tahoma"/>
          <w:b/>
          <w:u w:val="single"/>
        </w:rPr>
      </w:pPr>
    </w:p>
    <w:p w:rsidR="00027204" w:rsidRPr="007E60F2" w:rsidRDefault="00027204" w:rsidP="00027204">
      <w:pPr>
        <w:jc w:val="center"/>
        <w:rPr>
          <w:i/>
        </w:rPr>
      </w:pPr>
      <w:r w:rsidRPr="007E60F2">
        <w:rPr>
          <w:i/>
        </w:rPr>
        <w:t>~</w:t>
      </w:r>
      <w:r w:rsidRPr="007E60F2">
        <w:rPr>
          <w:i/>
          <w:u w:val="single"/>
        </w:rPr>
        <w:t>!</w:t>
      </w:r>
      <w:r w:rsidRPr="007E60F2">
        <w:rPr>
          <w:i/>
        </w:rPr>
        <w:t>~</w:t>
      </w:r>
    </w:p>
    <w:p w:rsidR="00027204" w:rsidRPr="007E60F2" w:rsidRDefault="00027204" w:rsidP="00027204">
      <w:pPr>
        <w:spacing w:before="120" w:line="280" w:lineRule="exact"/>
        <w:jc w:val="center"/>
        <w:rPr>
          <w:rFonts w:ascii="Tahoma" w:hAnsi="Tahoma" w:cs="Tahoma"/>
          <w:b/>
          <w:bCs/>
          <w:caps/>
          <w:sz w:val="22"/>
          <w:szCs w:val="22"/>
          <w:u w:val="single"/>
        </w:rPr>
      </w:pPr>
      <w:r w:rsidRPr="007E60F2">
        <w:rPr>
          <w:rFonts w:ascii="Tahoma" w:hAnsi="Tahoma" w:cs="Tahoma"/>
          <w:b/>
          <w:bCs/>
          <w:caps/>
          <w:sz w:val="22"/>
          <w:szCs w:val="22"/>
          <w:u w:val="single"/>
        </w:rPr>
        <w:t>Part I</w:t>
      </w:r>
      <w:r w:rsidR="000902B5">
        <w:rPr>
          <w:rFonts w:ascii="Tahoma" w:hAnsi="Tahoma" w:cs="Tahoma"/>
          <w:b/>
          <w:bCs/>
          <w:caps/>
          <w:sz w:val="22"/>
          <w:szCs w:val="22"/>
          <w:u w:val="single"/>
        </w:rPr>
        <w:t>I</w:t>
      </w:r>
    </w:p>
    <w:p w:rsidR="00112FC1" w:rsidRPr="007E60F2" w:rsidRDefault="00112FC1" w:rsidP="00112FC1">
      <w:pPr>
        <w:jc w:val="right"/>
      </w:pPr>
      <w:r w:rsidRPr="007E60F2">
        <w:t xml:space="preserve">[For this part, </w:t>
      </w:r>
      <w:r w:rsidR="000902B5">
        <w:t>each correct answer is +</w:t>
      </w:r>
      <w:r w:rsidR="006C3558">
        <w:t xml:space="preserve">½ </w:t>
      </w:r>
      <w:r w:rsidR="000902B5">
        <w:t xml:space="preserve">mark, each wrong answer </w:t>
      </w:r>
      <w:r w:rsidR="000902B5" w:rsidRPr="007E60F2">
        <w:t xml:space="preserve">is </w:t>
      </w:r>
      <w:r w:rsidR="000902B5">
        <w:t>–½ mark</w:t>
      </w:r>
      <w:r w:rsidRPr="007E60F2">
        <w:t xml:space="preserve">] </w:t>
      </w:r>
    </w:p>
    <w:p w:rsidR="00027204" w:rsidRPr="007E60F2" w:rsidRDefault="00027204" w:rsidP="00027204">
      <w:pPr>
        <w:spacing w:before="120" w:line="280" w:lineRule="exact"/>
        <w:jc w:val="both"/>
        <w:rPr>
          <w:rFonts w:ascii="Tahoma" w:hAnsi="Tahoma" w:cs="Tahoma"/>
          <w:sz w:val="22"/>
          <w:szCs w:val="22"/>
        </w:rPr>
      </w:pPr>
      <w:r w:rsidRPr="007E60F2">
        <w:rPr>
          <w:rFonts w:ascii="Tahoma" w:hAnsi="Tahoma" w:cs="Tahoma"/>
          <w:sz w:val="22"/>
          <w:szCs w:val="22"/>
          <w:u w:val="single"/>
        </w:rPr>
        <w:t>Instructions</w:t>
      </w:r>
      <w:r w:rsidRPr="007E60F2">
        <w:rPr>
          <w:rFonts w:ascii="Tahoma" w:hAnsi="Tahoma" w:cs="Tahoma"/>
          <w:sz w:val="22"/>
          <w:szCs w:val="22"/>
        </w:rPr>
        <w:t>: Match the concept given below, with the examples/ explanation by writing the appropriate alphabet on the left of the examples. For each example – there is only one most appropriate concept (and for each concept, there is only one most appropriate example/explanation)</w:t>
      </w:r>
      <w:r w:rsidR="000902B5">
        <w:rPr>
          <w:rFonts w:ascii="Tahoma" w:hAnsi="Tahoma" w:cs="Tahoma"/>
          <w:sz w:val="22"/>
          <w:szCs w:val="22"/>
        </w:rPr>
        <w:t xml:space="preserve">. </w:t>
      </w:r>
      <w:r w:rsidR="000902B5">
        <w:rPr>
          <w:rFonts w:ascii="Tahoma" w:hAnsi="Tahoma" w:cs="Tahoma"/>
          <w:sz w:val="22"/>
          <w:szCs w:val="22"/>
        </w:rPr>
        <w:t>Please write a few words in the logic/reasoning column as well.</w:t>
      </w:r>
      <w:r w:rsidRPr="007E60F2">
        <w:rPr>
          <w:rFonts w:ascii="Tahoma" w:hAnsi="Tahoma" w:cs="Tahoma"/>
          <w:sz w:val="22"/>
          <w:szCs w:val="22"/>
        </w:rPr>
        <w:t xml:space="preserve"> </w:t>
      </w:r>
    </w:p>
    <w:p w:rsidR="00027204" w:rsidRPr="007E60F2" w:rsidRDefault="00027204" w:rsidP="00027204">
      <w:pPr>
        <w:spacing w:before="120" w:line="280" w:lineRule="exact"/>
        <w:ind w:left="360"/>
        <w:jc w:val="right"/>
        <w:rPr>
          <w:rFonts w:ascii="Tahoma" w:hAnsi="Tahoma" w:cs="Tahoma"/>
          <w:sz w:val="22"/>
          <w:szCs w:val="22"/>
        </w:rPr>
      </w:pPr>
    </w:p>
    <w:tbl>
      <w:tblPr>
        <w:tblStyle w:val="TableGrid"/>
        <w:tblW w:w="14575" w:type="dxa"/>
        <w:jc w:val="center"/>
        <w:tblLook w:val="01E0" w:firstRow="1" w:lastRow="1" w:firstColumn="1" w:lastColumn="1" w:noHBand="0" w:noVBand="0"/>
      </w:tblPr>
      <w:tblGrid>
        <w:gridCol w:w="1242"/>
        <w:gridCol w:w="4536"/>
        <w:gridCol w:w="4536"/>
        <w:gridCol w:w="4261"/>
      </w:tblGrid>
      <w:tr w:rsidR="006C3558" w:rsidRPr="007E60F2" w:rsidTr="006C3558">
        <w:trPr>
          <w:tblHeader/>
          <w:jc w:val="center"/>
        </w:trPr>
        <w:tc>
          <w:tcPr>
            <w:tcW w:w="1242" w:type="dxa"/>
          </w:tcPr>
          <w:p w:rsidR="006C3558" w:rsidRPr="007E60F2" w:rsidRDefault="006C3558" w:rsidP="006C3558">
            <w:pPr>
              <w:jc w:val="center"/>
              <w:rPr>
                <w:b/>
                <w:caps/>
              </w:rPr>
            </w:pPr>
            <w:r w:rsidRPr="007E60F2">
              <w:rPr>
                <w:b/>
              </w:rPr>
              <w:t>Your Response</w:t>
            </w:r>
          </w:p>
        </w:tc>
        <w:tc>
          <w:tcPr>
            <w:tcW w:w="4536" w:type="dxa"/>
          </w:tcPr>
          <w:p w:rsidR="006C3558" w:rsidRPr="007E60F2" w:rsidRDefault="006C3558" w:rsidP="006C3558">
            <w:pPr>
              <w:jc w:val="center"/>
              <w:rPr>
                <w:b/>
                <w:caps/>
              </w:rPr>
            </w:pPr>
            <w:r>
              <w:rPr>
                <w:b/>
                <w:caps/>
              </w:rPr>
              <w:t>Your logic / reasoning</w:t>
            </w:r>
          </w:p>
        </w:tc>
        <w:tc>
          <w:tcPr>
            <w:tcW w:w="4536" w:type="dxa"/>
          </w:tcPr>
          <w:p w:rsidR="006C3558" w:rsidRPr="007E60F2" w:rsidRDefault="006C3558" w:rsidP="006C3558">
            <w:pPr>
              <w:jc w:val="center"/>
              <w:rPr>
                <w:b/>
                <w:caps/>
              </w:rPr>
            </w:pPr>
            <w:r w:rsidRPr="007E60F2">
              <w:rPr>
                <w:b/>
              </w:rPr>
              <w:t>Concept / Issue</w:t>
            </w:r>
          </w:p>
        </w:tc>
        <w:tc>
          <w:tcPr>
            <w:tcW w:w="4261" w:type="dxa"/>
          </w:tcPr>
          <w:p w:rsidR="006C3558" w:rsidRPr="007E60F2" w:rsidRDefault="006C3558" w:rsidP="006C3558">
            <w:pPr>
              <w:jc w:val="center"/>
              <w:rPr>
                <w:b/>
              </w:rPr>
            </w:pPr>
            <w:r w:rsidRPr="007E60F2">
              <w:rPr>
                <w:b/>
              </w:rPr>
              <w:t>Example / Explanation / Illustration</w:t>
            </w:r>
          </w:p>
        </w:tc>
      </w:tr>
      <w:tr w:rsidR="006C3558" w:rsidRPr="007E60F2" w:rsidTr="006C3558">
        <w:trPr>
          <w:jc w:val="center"/>
        </w:trPr>
        <w:tc>
          <w:tcPr>
            <w:tcW w:w="1242" w:type="dxa"/>
          </w:tcPr>
          <w:p w:rsidR="006C3558" w:rsidRPr="007E60F2" w:rsidRDefault="006C3558" w:rsidP="006C3558">
            <w:pPr>
              <w:rPr>
                <w:bCs/>
                <w:u w:val="single"/>
              </w:rPr>
            </w:pPr>
          </w:p>
        </w:tc>
        <w:tc>
          <w:tcPr>
            <w:tcW w:w="4536" w:type="dxa"/>
          </w:tcPr>
          <w:p w:rsidR="006C3558" w:rsidRDefault="006C3558" w:rsidP="006C3558">
            <w:pPr>
              <w:jc w:val="both"/>
              <w:rPr>
                <w:bCs/>
              </w:rPr>
            </w:pPr>
          </w:p>
          <w:p w:rsidR="006C3558" w:rsidRDefault="006C3558" w:rsidP="006C3558">
            <w:pPr>
              <w:jc w:val="both"/>
              <w:rPr>
                <w:bCs/>
              </w:rPr>
            </w:pPr>
          </w:p>
          <w:p w:rsidR="006C3558" w:rsidRPr="007E60F2" w:rsidRDefault="006C3558" w:rsidP="006C3558">
            <w:pPr>
              <w:jc w:val="both"/>
              <w:rPr>
                <w:bCs/>
              </w:rPr>
            </w:pPr>
          </w:p>
        </w:tc>
        <w:tc>
          <w:tcPr>
            <w:tcW w:w="4536" w:type="dxa"/>
          </w:tcPr>
          <w:p w:rsidR="006C3558" w:rsidRPr="007E60F2" w:rsidRDefault="006C3558" w:rsidP="006C3558">
            <w:pPr>
              <w:jc w:val="both"/>
              <w:rPr>
                <w:bCs/>
              </w:rPr>
            </w:pPr>
            <w:r w:rsidRPr="007E60F2">
              <w:rPr>
                <w:bCs/>
              </w:rPr>
              <w:t>Value Maximization Framework</w:t>
            </w:r>
          </w:p>
        </w:tc>
        <w:tc>
          <w:tcPr>
            <w:tcW w:w="4261" w:type="dxa"/>
          </w:tcPr>
          <w:p w:rsidR="006C3558" w:rsidRPr="007E60F2" w:rsidRDefault="006C3558" w:rsidP="006C3558">
            <w:pPr>
              <w:pStyle w:val="ListParagraph"/>
              <w:numPr>
                <w:ilvl w:val="0"/>
                <w:numId w:val="2"/>
              </w:numPr>
              <w:jc w:val="both"/>
              <w:rPr>
                <w:bCs/>
              </w:rPr>
            </w:pPr>
            <w:r w:rsidRPr="007E60F2">
              <w:rPr>
                <w:bCs/>
              </w:rPr>
              <w:t xml:space="preserve">Pioneer Distilleries </w:t>
            </w:r>
          </w:p>
        </w:tc>
      </w:tr>
      <w:tr w:rsidR="006C3558" w:rsidRPr="007E60F2" w:rsidTr="006C3558">
        <w:trPr>
          <w:jc w:val="center"/>
        </w:trPr>
        <w:tc>
          <w:tcPr>
            <w:tcW w:w="1242" w:type="dxa"/>
          </w:tcPr>
          <w:p w:rsidR="006C3558" w:rsidRPr="007E60F2" w:rsidRDefault="006C3558" w:rsidP="006C3558">
            <w:pPr>
              <w:rPr>
                <w:bCs/>
                <w:u w:val="single"/>
              </w:rPr>
            </w:pPr>
          </w:p>
        </w:tc>
        <w:tc>
          <w:tcPr>
            <w:tcW w:w="4536" w:type="dxa"/>
          </w:tcPr>
          <w:p w:rsidR="006C3558" w:rsidRDefault="006C3558" w:rsidP="006C3558">
            <w:pPr>
              <w:jc w:val="both"/>
              <w:rPr>
                <w:bCs/>
              </w:rPr>
            </w:pPr>
          </w:p>
          <w:p w:rsidR="006C3558" w:rsidRDefault="006C3558" w:rsidP="006C3558">
            <w:pPr>
              <w:jc w:val="both"/>
              <w:rPr>
                <w:bCs/>
              </w:rPr>
            </w:pPr>
          </w:p>
          <w:p w:rsidR="006C3558" w:rsidRPr="007E60F2" w:rsidRDefault="006C3558" w:rsidP="006C3558">
            <w:pPr>
              <w:jc w:val="both"/>
              <w:rPr>
                <w:bCs/>
              </w:rPr>
            </w:pPr>
          </w:p>
        </w:tc>
        <w:tc>
          <w:tcPr>
            <w:tcW w:w="4536" w:type="dxa"/>
          </w:tcPr>
          <w:p w:rsidR="006C3558" w:rsidRPr="007E60F2" w:rsidRDefault="006C3558" w:rsidP="006C3558">
            <w:pPr>
              <w:jc w:val="both"/>
              <w:rPr>
                <w:bCs/>
              </w:rPr>
            </w:pPr>
            <w:r w:rsidRPr="007E60F2">
              <w:rPr>
                <w:bCs/>
              </w:rPr>
              <w:t>Relative Multiples Model</w:t>
            </w:r>
          </w:p>
        </w:tc>
        <w:tc>
          <w:tcPr>
            <w:tcW w:w="4261" w:type="dxa"/>
          </w:tcPr>
          <w:p w:rsidR="006C3558" w:rsidRPr="007E60F2" w:rsidRDefault="006C3558" w:rsidP="006C3558">
            <w:pPr>
              <w:pStyle w:val="ListParagraph"/>
              <w:numPr>
                <w:ilvl w:val="0"/>
                <w:numId w:val="2"/>
              </w:numPr>
              <w:jc w:val="both"/>
              <w:rPr>
                <w:bCs/>
              </w:rPr>
            </w:pPr>
            <w:r w:rsidRPr="007E60F2">
              <w:rPr>
                <w:bCs/>
              </w:rPr>
              <w:t>Zee Entertainment (1999, 2002, 2015)</w:t>
            </w:r>
          </w:p>
        </w:tc>
      </w:tr>
      <w:tr w:rsidR="006C3558" w:rsidRPr="007E60F2" w:rsidTr="006C3558">
        <w:trPr>
          <w:jc w:val="center"/>
        </w:trPr>
        <w:tc>
          <w:tcPr>
            <w:tcW w:w="1242" w:type="dxa"/>
          </w:tcPr>
          <w:p w:rsidR="006C3558" w:rsidRPr="007E60F2" w:rsidRDefault="006C3558" w:rsidP="006C3558">
            <w:pPr>
              <w:rPr>
                <w:bCs/>
                <w:u w:val="single"/>
              </w:rPr>
            </w:pPr>
          </w:p>
        </w:tc>
        <w:tc>
          <w:tcPr>
            <w:tcW w:w="4536" w:type="dxa"/>
          </w:tcPr>
          <w:p w:rsidR="006C3558" w:rsidRDefault="006C3558" w:rsidP="006C3558">
            <w:pPr>
              <w:jc w:val="both"/>
              <w:rPr>
                <w:bCs/>
              </w:rPr>
            </w:pPr>
          </w:p>
          <w:p w:rsidR="006C3558" w:rsidRDefault="006C3558" w:rsidP="006C3558">
            <w:pPr>
              <w:jc w:val="both"/>
              <w:rPr>
                <w:bCs/>
              </w:rPr>
            </w:pPr>
          </w:p>
          <w:p w:rsidR="006C3558" w:rsidRPr="007E60F2" w:rsidRDefault="006C3558" w:rsidP="006C3558">
            <w:pPr>
              <w:jc w:val="both"/>
              <w:rPr>
                <w:bCs/>
              </w:rPr>
            </w:pPr>
          </w:p>
        </w:tc>
        <w:tc>
          <w:tcPr>
            <w:tcW w:w="4536" w:type="dxa"/>
          </w:tcPr>
          <w:p w:rsidR="006C3558" w:rsidRPr="007E60F2" w:rsidRDefault="006C3558" w:rsidP="006C3558">
            <w:pPr>
              <w:jc w:val="both"/>
              <w:rPr>
                <w:bCs/>
              </w:rPr>
            </w:pPr>
            <w:r w:rsidRPr="007E60F2">
              <w:rPr>
                <w:bCs/>
              </w:rPr>
              <w:t>FCFE 2-Phase Model</w:t>
            </w:r>
          </w:p>
        </w:tc>
        <w:tc>
          <w:tcPr>
            <w:tcW w:w="4261" w:type="dxa"/>
          </w:tcPr>
          <w:p w:rsidR="006C3558" w:rsidRPr="007E60F2" w:rsidRDefault="006C3558" w:rsidP="006C3558">
            <w:pPr>
              <w:pStyle w:val="ListParagraph"/>
              <w:numPr>
                <w:ilvl w:val="0"/>
                <w:numId w:val="2"/>
              </w:numPr>
              <w:jc w:val="both"/>
              <w:rPr>
                <w:bCs/>
              </w:rPr>
            </w:pPr>
            <w:r>
              <w:rPr>
                <w:bCs/>
              </w:rPr>
              <w:t>State Bank of India</w:t>
            </w:r>
          </w:p>
        </w:tc>
      </w:tr>
      <w:tr w:rsidR="006C3558" w:rsidRPr="007E60F2" w:rsidTr="006C3558">
        <w:trPr>
          <w:jc w:val="center"/>
        </w:trPr>
        <w:tc>
          <w:tcPr>
            <w:tcW w:w="1242" w:type="dxa"/>
          </w:tcPr>
          <w:p w:rsidR="006C3558" w:rsidRPr="007E60F2" w:rsidRDefault="006C3558" w:rsidP="006C3558">
            <w:pPr>
              <w:rPr>
                <w:bCs/>
                <w:u w:val="single"/>
              </w:rPr>
            </w:pPr>
          </w:p>
        </w:tc>
        <w:tc>
          <w:tcPr>
            <w:tcW w:w="4536" w:type="dxa"/>
          </w:tcPr>
          <w:p w:rsidR="006C3558" w:rsidRDefault="006C3558" w:rsidP="006C3558">
            <w:pPr>
              <w:jc w:val="both"/>
              <w:rPr>
                <w:bCs/>
              </w:rPr>
            </w:pPr>
          </w:p>
          <w:p w:rsidR="006C3558" w:rsidRDefault="006C3558" w:rsidP="006C3558">
            <w:pPr>
              <w:jc w:val="both"/>
              <w:rPr>
                <w:bCs/>
              </w:rPr>
            </w:pPr>
          </w:p>
          <w:p w:rsidR="006C3558" w:rsidRPr="007E60F2" w:rsidRDefault="006C3558" w:rsidP="006C3558">
            <w:pPr>
              <w:jc w:val="both"/>
              <w:rPr>
                <w:bCs/>
              </w:rPr>
            </w:pPr>
          </w:p>
        </w:tc>
        <w:tc>
          <w:tcPr>
            <w:tcW w:w="4536" w:type="dxa"/>
          </w:tcPr>
          <w:p w:rsidR="006C3558" w:rsidRPr="007E60F2" w:rsidRDefault="006C3558" w:rsidP="006C3558">
            <w:pPr>
              <w:jc w:val="both"/>
              <w:rPr>
                <w:bCs/>
              </w:rPr>
            </w:pPr>
            <w:r w:rsidRPr="007E60F2">
              <w:rPr>
                <w:bCs/>
              </w:rPr>
              <w:t>DDM Single Phase Model</w:t>
            </w:r>
          </w:p>
        </w:tc>
        <w:tc>
          <w:tcPr>
            <w:tcW w:w="4261" w:type="dxa"/>
          </w:tcPr>
          <w:p w:rsidR="006C3558" w:rsidRPr="007E60F2" w:rsidRDefault="006C3558" w:rsidP="006C3558">
            <w:pPr>
              <w:pStyle w:val="ListParagraph"/>
              <w:numPr>
                <w:ilvl w:val="0"/>
                <w:numId w:val="2"/>
              </w:numPr>
              <w:jc w:val="both"/>
              <w:rPr>
                <w:bCs/>
              </w:rPr>
            </w:pPr>
            <w:r w:rsidRPr="007E60F2">
              <w:rPr>
                <w:bCs/>
              </w:rPr>
              <w:t>Chambal Fertilizers &amp; Chemicals</w:t>
            </w:r>
          </w:p>
        </w:tc>
      </w:tr>
      <w:tr w:rsidR="006C3558" w:rsidRPr="007E60F2" w:rsidTr="006C3558">
        <w:trPr>
          <w:jc w:val="center"/>
        </w:trPr>
        <w:tc>
          <w:tcPr>
            <w:tcW w:w="1242" w:type="dxa"/>
          </w:tcPr>
          <w:p w:rsidR="006C3558" w:rsidRPr="007E60F2" w:rsidRDefault="006C3558" w:rsidP="006C3558">
            <w:pPr>
              <w:rPr>
                <w:bCs/>
                <w:u w:val="single"/>
              </w:rPr>
            </w:pPr>
          </w:p>
        </w:tc>
        <w:tc>
          <w:tcPr>
            <w:tcW w:w="4536" w:type="dxa"/>
          </w:tcPr>
          <w:p w:rsidR="006C3558" w:rsidRDefault="006C3558" w:rsidP="006C3558">
            <w:pPr>
              <w:jc w:val="both"/>
              <w:rPr>
                <w:bCs/>
              </w:rPr>
            </w:pPr>
          </w:p>
          <w:p w:rsidR="006C3558" w:rsidRDefault="006C3558" w:rsidP="006C3558">
            <w:pPr>
              <w:jc w:val="both"/>
              <w:rPr>
                <w:bCs/>
              </w:rPr>
            </w:pPr>
          </w:p>
          <w:p w:rsidR="006C3558" w:rsidRPr="007E60F2" w:rsidRDefault="006C3558" w:rsidP="006C3558">
            <w:pPr>
              <w:jc w:val="both"/>
              <w:rPr>
                <w:bCs/>
              </w:rPr>
            </w:pPr>
          </w:p>
        </w:tc>
        <w:tc>
          <w:tcPr>
            <w:tcW w:w="4536" w:type="dxa"/>
          </w:tcPr>
          <w:p w:rsidR="006C3558" w:rsidRPr="007E60F2" w:rsidRDefault="006C3558" w:rsidP="006C3558">
            <w:pPr>
              <w:jc w:val="both"/>
              <w:rPr>
                <w:bCs/>
              </w:rPr>
            </w:pPr>
            <w:r w:rsidRPr="007E60F2">
              <w:rPr>
                <w:bCs/>
              </w:rPr>
              <w:t>DDM 2-Phase Model</w:t>
            </w:r>
          </w:p>
        </w:tc>
        <w:tc>
          <w:tcPr>
            <w:tcW w:w="4261" w:type="dxa"/>
          </w:tcPr>
          <w:p w:rsidR="006C3558" w:rsidRPr="007E60F2" w:rsidRDefault="006C3558" w:rsidP="006C3558">
            <w:pPr>
              <w:pStyle w:val="ListParagraph"/>
              <w:numPr>
                <w:ilvl w:val="0"/>
                <w:numId w:val="2"/>
              </w:numPr>
              <w:jc w:val="both"/>
              <w:rPr>
                <w:bCs/>
              </w:rPr>
            </w:pPr>
            <w:proofErr w:type="spellStart"/>
            <w:r w:rsidRPr="007E60F2">
              <w:rPr>
                <w:bCs/>
              </w:rPr>
              <w:t>Relaxo</w:t>
            </w:r>
            <w:proofErr w:type="spellEnd"/>
            <w:r w:rsidRPr="007E60F2">
              <w:rPr>
                <w:bCs/>
              </w:rPr>
              <w:t xml:space="preserve"> Footwear </w:t>
            </w:r>
          </w:p>
        </w:tc>
      </w:tr>
      <w:tr w:rsidR="006C3558" w:rsidRPr="007E60F2" w:rsidTr="006C3558">
        <w:trPr>
          <w:jc w:val="center"/>
        </w:trPr>
        <w:tc>
          <w:tcPr>
            <w:tcW w:w="1242" w:type="dxa"/>
          </w:tcPr>
          <w:p w:rsidR="006C3558" w:rsidRPr="007E60F2" w:rsidRDefault="006C3558" w:rsidP="006C3558">
            <w:pPr>
              <w:rPr>
                <w:bCs/>
                <w:u w:val="single"/>
              </w:rPr>
            </w:pPr>
          </w:p>
        </w:tc>
        <w:tc>
          <w:tcPr>
            <w:tcW w:w="4536" w:type="dxa"/>
          </w:tcPr>
          <w:p w:rsidR="006C3558" w:rsidRDefault="006C3558" w:rsidP="006C3558">
            <w:pPr>
              <w:jc w:val="both"/>
              <w:rPr>
                <w:bCs/>
              </w:rPr>
            </w:pPr>
          </w:p>
          <w:p w:rsidR="006C3558" w:rsidRDefault="006C3558" w:rsidP="006C3558">
            <w:pPr>
              <w:jc w:val="both"/>
              <w:rPr>
                <w:bCs/>
              </w:rPr>
            </w:pPr>
          </w:p>
          <w:p w:rsidR="006C3558" w:rsidRPr="007E60F2" w:rsidRDefault="006C3558" w:rsidP="006C3558">
            <w:pPr>
              <w:jc w:val="both"/>
              <w:rPr>
                <w:bCs/>
              </w:rPr>
            </w:pPr>
          </w:p>
        </w:tc>
        <w:tc>
          <w:tcPr>
            <w:tcW w:w="4536" w:type="dxa"/>
          </w:tcPr>
          <w:p w:rsidR="006C3558" w:rsidRPr="007E60F2" w:rsidRDefault="006C3558" w:rsidP="006C3558">
            <w:pPr>
              <w:jc w:val="both"/>
              <w:rPr>
                <w:bCs/>
              </w:rPr>
            </w:pPr>
            <w:r w:rsidRPr="007E60F2">
              <w:rPr>
                <w:bCs/>
              </w:rPr>
              <w:t>DDM 3-Phase Model</w:t>
            </w:r>
          </w:p>
        </w:tc>
        <w:tc>
          <w:tcPr>
            <w:tcW w:w="4261" w:type="dxa"/>
          </w:tcPr>
          <w:p w:rsidR="006C3558" w:rsidRPr="007E60F2" w:rsidRDefault="006C3558" w:rsidP="006C3558">
            <w:pPr>
              <w:pStyle w:val="ListParagraph"/>
              <w:numPr>
                <w:ilvl w:val="0"/>
                <w:numId w:val="2"/>
              </w:numPr>
              <w:jc w:val="both"/>
              <w:rPr>
                <w:bCs/>
              </w:rPr>
            </w:pPr>
            <w:r w:rsidRPr="007E60F2">
              <w:rPr>
                <w:bCs/>
              </w:rPr>
              <w:t xml:space="preserve">Alok Textiles, </w:t>
            </w:r>
            <w:proofErr w:type="spellStart"/>
            <w:r w:rsidRPr="007E60F2">
              <w:rPr>
                <w:bCs/>
              </w:rPr>
              <w:t>Welspun</w:t>
            </w:r>
            <w:proofErr w:type="spellEnd"/>
            <w:r w:rsidRPr="007E60F2">
              <w:rPr>
                <w:bCs/>
              </w:rPr>
              <w:t xml:space="preserve"> Industries, Textiles Weaving Sector, Just Dial, </w:t>
            </w:r>
            <w:proofErr w:type="spellStart"/>
            <w:r w:rsidRPr="007E60F2">
              <w:rPr>
                <w:bCs/>
              </w:rPr>
              <w:t>Cipla</w:t>
            </w:r>
            <w:proofErr w:type="spellEnd"/>
            <w:r w:rsidRPr="007E60F2">
              <w:rPr>
                <w:bCs/>
              </w:rPr>
              <w:t xml:space="preserve">, </w:t>
            </w:r>
            <w:proofErr w:type="spellStart"/>
            <w:r w:rsidRPr="007E60F2">
              <w:rPr>
                <w:bCs/>
              </w:rPr>
              <w:t>Lupin</w:t>
            </w:r>
            <w:proofErr w:type="spellEnd"/>
            <w:r w:rsidRPr="007E60F2">
              <w:rPr>
                <w:bCs/>
              </w:rPr>
              <w:t>, Pharma Sector</w:t>
            </w:r>
          </w:p>
        </w:tc>
      </w:tr>
      <w:tr w:rsidR="006C3558" w:rsidRPr="007E60F2" w:rsidTr="006C3558">
        <w:trPr>
          <w:jc w:val="center"/>
        </w:trPr>
        <w:tc>
          <w:tcPr>
            <w:tcW w:w="1242" w:type="dxa"/>
          </w:tcPr>
          <w:p w:rsidR="006C3558" w:rsidRPr="007E60F2" w:rsidRDefault="006C3558" w:rsidP="006C3558">
            <w:pPr>
              <w:rPr>
                <w:bCs/>
                <w:u w:val="single"/>
              </w:rPr>
            </w:pPr>
          </w:p>
        </w:tc>
        <w:tc>
          <w:tcPr>
            <w:tcW w:w="4536" w:type="dxa"/>
          </w:tcPr>
          <w:p w:rsidR="006C3558" w:rsidRDefault="006C3558" w:rsidP="006C3558">
            <w:pPr>
              <w:jc w:val="both"/>
              <w:rPr>
                <w:bCs/>
              </w:rPr>
            </w:pPr>
          </w:p>
          <w:p w:rsidR="006C3558" w:rsidRDefault="006C3558" w:rsidP="006C3558">
            <w:pPr>
              <w:jc w:val="both"/>
              <w:rPr>
                <w:bCs/>
              </w:rPr>
            </w:pPr>
          </w:p>
          <w:p w:rsidR="006C3558" w:rsidRPr="007E60F2" w:rsidRDefault="006C3558" w:rsidP="006C3558">
            <w:pPr>
              <w:jc w:val="both"/>
              <w:rPr>
                <w:bCs/>
              </w:rPr>
            </w:pPr>
          </w:p>
        </w:tc>
        <w:tc>
          <w:tcPr>
            <w:tcW w:w="4536" w:type="dxa"/>
          </w:tcPr>
          <w:p w:rsidR="006C3558" w:rsidRPr="007E60F2" w:rsidRDefault="006C3558" w:rsidP="006C3558">
            <w:pPr>
              <w:jc w:val="both"/>
              <w:rPr>
                <w:bCs/>
              </w:rPr>
            </w:pPr>
            <w:r w:rsidRPr="007E60F2">
              <w:rPr>
                <w:bCs/>
              </w:rPr>
              <w:t xml:space="preserve">No Suggested Model </w:t>
            </w:r>
          </w:p>
        </w:tc>
        <w:tc>
          <w:tcPr>
            <w:tcW w:w="4261" w:type="dxa"/>
          </w:tcPr>
          <w:p w:rsidR="006C3558" w:rsidRPr="007E60F2" w:rsidRDefault="006C3558" w:rsidP="006C3558">
            <w:pPr>
              <w:pStyle w:val="ListParagraph"/>
              <w:numPr>
                <w:ilvl w:val="0"/>
                <w:numId w:val="2"/>
              </w:numPr>
              <w:jc w:val="both"/>
              <w:rPr>
                <w:bCs/>
              </w:rPr>
            </w:pPr>
            <w:r w:rsidRPr="007E60F2">
              <w:rPr>
                <w:bCs/>
              </w:rPr>
              <w:t>Painting by Shri M F Hussain</w:t>
            </w:r>
          </w:p>
        </w:tc>
      </w:tr>
    </w:tbl>
    <w:p w:rsidR="00565205" w:rsidRPr="007E60F2" w:rsidRDefault="00565205" w:rsidP="00565205">
      <w:pPr>
        <w:jc w:val="both"/>
      </w:pPr>
    </w:p>
    <w:sectPr w:rsidR="00565205" w:rsidRPr="007E60F2" w:rsidSect="000902B5">
      <w:headerReference w:type="default" r:id="rId8"/>
      <w:footerReference w:type="even" r:id="rId9"/>
      <w:footerReference w:type="default" r:id="rId10"/>
      <w:pgSz w:w="16839" w:h="11907" w:orient="landscape"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ED" w:rsidRDefault="00FD33ED">
      <w:r>
        <w:separator/>
      </w:r>
    </w:p>
  </w:endnote>
  <w:endnote w:type="continuationSeparator" w:id="0">
    <w:p w:rsidR="00FD33ED" w:rsidRDefault="00FD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A2" w:rsidRDefault="00E95A9F">
    <w:pPr>
      <w:pStyle w:val="Footer"/>
      <w:framePr w:wrap="around" w:vAnchor="text" w:hAnchor="margin" w:xAlign="center" w:y="1"/>
      <w:rPr>
        <w:rStyle w:val="PageNumber"/>
      </w:rPr>
    </w:pPr>
    <w:r>
      <w:rPr>
        <w:rStyle w:val="PageNumber"/>
      </w:rPr>
      <w:fldChar w:fldCharType="begin"/>
    </w:r>
    <w:r w:rsidR="009F6AA2">
      <w:rPr>
        <w:rStyle w:val="PageNumber"/>
      </w:rPr>
      <w:instrText xml:space="preserve">PAGE  </w:instrText>
    </w:r>
    <w:r>
      <w:rPr>
        <w:rStyle w:val="PageNumber"/>
      </w:rPr>
      <w:fldChar w:fldCharType="end"/>
    </w:r>
  </w:p>
  <w:p w:rsidR="009F6AA2" w:rsidRDefault="009F6A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545"/>
      <w:docPartObj>
        <w:docPartGallery w:val="Page Numbers (Bottom of Page)"/>
        <w:docPartUnique/>
      </w:docPartObj>
    </w:sdtPr>
    <w:sdtEndPr/>
    <w:sdtContent>
      <w:sdt>
        <w:sdtPr>
          <w:id w:val="565050477"/>
          <w:docPartObj>
            <w:docPartGallery w:val="Page Numbers (Top of Page)"/>
            <w:docPartUnique/>
          </w:docPartObj>
        </w:sdtPr>
        <w:sdtEndPr/>
        <w:sdtContent>
          <w:p w:rsidR="00A138DE" w:rsidRDefault="00A138DE">
            <w:pPr>
              <w:pStyle w:val="Footer"/>
              <w:jc w:val="center"/>
            </w:pPr>
            <w:r>
              <w:t xml:space="preserve">Page </w:t>
            </w:r>
            <w:r>
              <w:rPr>
                <w:b/>
              </w:rPr>
              <w:fldChar w:fldCharType="begin"/>
            </w:r>
            <w:r>
              <w:rPr>
                <w:b/>
              </w:rPr>
              <w:instrText xml:space="preserve"> PAGE </w:instrText>
            </w:r>
            <w:r>
              <w:rPr>
                <w:b/>
              </w:rPr>
              <w:fldChar w:fldCharType="separate"/>
            </w:r>
            <w:r w:rsidR="00077B9E">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077B9E">
              <w:rPr>
                <w:b/>
                <w:noProof/>
              </w:rPr>
              <w:t>3</w:t>
            </w:r>
            <w:r>
              <w:rPr>
                <w:b/>
              </w:rPr>
              <w:fldChar w:fldCharType="end"/>
            </w:r>
          </w:p>
        </w:sdtContent>
      </w:sdt>
    </w:sdtContent>
  </w:sdt>
  <w:p w:rsidR="009F6AA2" w:rsidRDefault="009F6AA2">
    <w:pPr>
      <w:pStyle w:val="Footer"/>
      <w:ind w:right="360"/>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ED" w:rsidRDefault="00FD33ED">
      <w:r>
        <w:separator/>
      </w:r>
    </w:p>
  </w:footnote>
  <w:footnote w:type="continuationSeparator" w:id="0">
    <w:p w:rsidR="00FD33ED" w:rsidRDefault="00FD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A2" w:rsidRDefault="009F6AA2" w:rsidP="00A138DE">
    <w:pPr>
      <w:pStyle w:val="Header"/>
      <w:tabs>
        <w:tab w:val="left" w:pos="8730"/>
      </w:tabs>
      <w:rPr>
        <w:rFonts w:ascii="Arial Narrow" w:hAnsi="Arial Narrow"/>
        <w:sz w:val="20"/>
      </w:rPr>
    </w:pPr>
    <w:r>
      <w:rPr>
        <w:rFonts w:ascii="Arial Narrow" w:hAnsi="Arial Narrow"/>
        <w:sz w:val="20"/>
      </w:rPr>
      <w:t xml:space="preserve">Course: </w:t>
    </w:r>
    <w:r w:rsidR="00062145">
      <w:rPr>
        <w:rFonts w:ascii="Arial Narrow" w:hAnsi="Arial Narrow"/>
        <w:sz w:val="20"/>
      </w:rPr>
      <w:t xml:space="preserve">Business Analysis &amp; </w:t>
    </w:r>
    <w:r>
      <w:rPr>
        <w:rFonts w:ascii="Arial Narrow" w:hAnsi="Arial Narrow"/>
        <w:sz w:val="20"/>
      </w:rPr>
      <w:t xml:space="preserve">Valuation Course     </w:t>
    </w:r>
    <w:r>
      <w:rPr>
        <w:rFonts w:ascii="Arial Narrow" w:hAnsi="Arial Narrow"/>
        <w:sz w:val="20"/>
      </w:rPr>
      <w:tab/>
    </w:r>
    <w:r>
      <w:rPr>
        <w:rFonts w:ascii="Arial Narrow" w:hAnsi="Arial Narrow"/>
        <w:sz w:val="20"/>
      </w:rPr>
      <w:tab/>
      <w:t xml:space="preserve">                                                              Instructor: </w:t>
    </w:r>
    <w:r w:rsidR="00A138DE">
      <w:rPr>
        <w:rFonts w:ascii="Arial Narrow" w:hAnsi="Arial Narrow"/>
        <w:sz w:val="20"/>
      </w:rPr>
      <w:t>RKK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CA5"/>
    <w:multiLevelType w:val="hybridMultilevel"/>
    <w:tmpl w:val="DA42AA9E"/>
    <w:lvl w:ilvl="0" w:tplc="6FF6B6BC">
      <w:start w:val="1"/>
      <w:numFmt w:val="hindiVowels"/>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3AE06105"/>
    <w:multiLevelType w:val="hybridMultilevel"/>
    <w:tmpl w:val="A1B889C6"/>
    <w:lvl w:ilvl="0" w:tplc="A75606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38478C"/>
    <w:multiLevelType w:val="hybridMultilevel"/>
    <w:tmpl w:val="DBCCBAF8"/>
    <w:lvl w:ilvl="0" w:tplc="2954DDD0">
      <w:start w:val="1"/>
      <w:numFmt w:val="hindiCount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C56625"/>
    <w:multiLevelType w:val="hybridMultilevel"/>
    <w:tmpl w:val="2280F52E"/>
    <w:lvl w:ilvl="0" w:tplc="2954DDD0">
      <w:start w:val="1"/>
      <w:numFmt w:val="hindiCounting"/>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539A"/>
    <w:rsid w:val="00022596"/>
    <w:rsid w:val="00027204"/>
    <w:rsid w:val="000518C0"/>
    <w:rsid w:val="00052BC1"/>
    <w:rsid w:val="00062145"/>
    <w:rsid w:val="00077B9E"/>
    <w:rsid w:val="000902B5"/>
    <w:rsid w:val="000972C4"/>
    <w:rsid w:val="000E10C9"/>
    <w:rsid w:val="000E5939"/>
    <w:rsid w:val="00112FC1"/>
    <w:rsid w:val="00121F86"/>
    <w:rsid w:val="00153D57"/>
    <w:rsid w:val="00162C49"/>
    <w:rsid w:val="0016625B"/>
    <w:rsid w:val="001754D6"/>
    <w:rsid w:val="001879E3"/>
    <w:rsid w:val="00201B20"/>
    <w:rsid w:val="00222CE7"/>
    <w:rsid w:val="00224F49"/>
    <w:rsid w:val="002252E3"/>
    <w:rsid w:val="00233EC7"/>
    <w:rsid w:val="00254124"/>
    <w:rsid w:val="002603E9"/>
    <w:rsid w:val="002C585D"/>
    <w:rsid w:val="002E2670"/>
    <w:rsid w:val="002F248D"/>
    <w:rsid w:val="00313B31"/>
    <w:rsid w:val="00315BFB"/>
    <w:rsid w:val="00325C0E"/>
    <w:rsid w:val="0032721B"/>
    <w:rsid w:val="0034715C"/>
    <w:rsid w:val="00377E80"/>
    <w:rsid w:val="0038539A"/>
    <w:rsid w:val="003C4ABA"/>
    <w:rsid w:val="00401568"/>
    <w:rsid w:val="004D087F"/>
    <w:rsid w:val="00501B6F"/>
    <w:rsid w:val="00503F67"/>
    <w:rsid w:val="005264BF"/>
    <w:rsid w:val="00565205"/>
    <w:rsid w:val="00573B59"/>
    <w:rsid w:val="005C63A6"/>
    <w:rsid w:val="005F376D"/>
    <w:rsid w:val="00603440"/>
    <w:rsid w:val="00662DC3"/>
    <w:rsid w:val="00692FAB"/>
    <w:rsid w:val="006B122C"/>
    <w:rsid w:val="006C3558"/>
    <w:rsid w:val="006F5225"/>
    <w:rsid w:val="0074152E"/>
    <w:rsid w:val="00796490"/>
    <w:rsid w:val="007A1F4B"/>
    <w:rsid w:val="007E60F2"/>
    <w:rsid w:val="007E6436"/>
    <w:rsid w:val="007F0434"/>
    <w:rsid w:val="00817C2D"/>
    <w:rsid w:val="00841766"/>
    <w:rsid w:val="0087074B"/>
    <w:rsid w:val="00897C02"/>
    <w:rsid w:val="00951D8D"/>
    <w:rsid w:val="00966716"/>
    <w:rsid w:val="009B3BA1"/>
    <w:rsid w:val="009F6AA2"/>
    <w:rsid w:val="00A138DE"/>
    <w:rsid w:val="00A70BCB"/>
    <w:rsid w:val="00A9703B"/>
    <w:rsid w:val="00AA0CC6"/>
    <w:rsid w:val="00AF748A"/>
    <w:rsid w:val="00B26461"/>
    <w:rsid w:val="00B7221B"/>
    <w:rsid w:val="00BD4500"/>
    <w:rsid w:val="00BF7FA6"/>
    <w:rsid w:val="00C0040E"/>
    <w:rsid w:val="00C44FDA"/>
    <w:rsid w:val="00C82585"/>
    <w:rsid w:val="00C91A5C"/>
    <w:rsid w:val="00CB3BAD"/>
    <w:rsid w:val="00CE56E1"/>
    <w:rsid w:val="00D8427C"/>
    <w:rsid w:val="00DB1064"/>
    <w:rsid w:val="00DD2B17"/>
    <w:rsid w:val="00E95A9F"/>
    <w:rsid w:val="00ED242F"/>
    <w:rsid w:val="00F45C5D"/>
    <w:rsid w:val="00F610D7"/>
    <w:rsid w:val="00F63A36"/>
    <w:rsid w:val="00F63CC7"/>
    <w:rsid w:val="00F831DE"/>
    <w:rsid w:val="00F8678B"/>
    <w:rsid w:val="00FA4CBC"/>
    <w:rsid w:val="00FC6D8E"/>
    <w:rsid w:val="00FD33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9F"/>
    <w:rPr>
      <w:sz w:val="24"/>
      <w:szCs w:val="24"/>
      <w:lang w:bidi="ar-SA"/>
    </w:rPr>
  </w:style>
  <w:style w:type="paragraph" w:styleId="Heading1">
    <w:name w:val="heading 1"/>
    <w:basedOn w:val="Normal"/>
    <w:next w:val="Normal"/>
    <w:qFormat/>
    <w:rsid w:val="00E95A9F"/>
    <w:pPr>
      <w:keepNext/>
      <w:jc w:val="center"/>
      <w:outlineLvl w:val="0"/>
    </w:pPr>
    <w:rPr>
      <w:rFonts w:ascii="Tahoma" w:hAnsi="Tahoma" w:cs="Tahoma"/>
      <w:b/>
      <w:bCs/>
      <w:sz w:val="20"/>
    </w:rPr>
  </w:style>
  <w:style w:type="paragraph" w:styleId="Heading2">
    <w:name w:val="heading 2"/>
    <w:basedOn w:val="Normal"/>
    <w:next w:val="Normal"/>
    <w:qFormat/>
    <w:rsid w:val="00E95A9F"/>
    <w:pPr>
      <w:keepNext/>
      <w:jc w:val="center"/>
      <w:outlineLvl w:val="1"/>
    </w:pPr>
    <w:rPr>
      <w:b/>
      <w:bCs/>
      <w:caps/>
    </w:rPr>
  </w:style>
  <w:style w:type="paragraph" w:styleId="Heading3">
    <w:name w:val="heading 3"/>
    <w:basedOn w:val="Normal"/>
    <w:next w:val="Normal"/>
    <w:qFormat/>
    <w:rsid w:val="00E95A9F"/>
    <w:pPr>
      <w:keepNext/>
      <w:spacing w:before="120" w:line="260" w:lineRule="exact"/>
      <w:jc w:val="center"/>
      <w:outlineLvl w:val="2"/>
    </w:pPr>
    <w:rPr>
      <w:rFonts w:ascii="Tahoma" w:hAnsi="Tahoma" w:cs="Tahoma"/>
      <w:b/>
      <w:bCs/>
      <w:sz w:val="20"/>
      <w:u w:val="single"/>
    </w:rPr>
  </w:style>
  <w:style w:type="paragraph" w:styleId="Heading4">
    <w:name w:val="heading 4"/>
    <w:basedOn w:val="Normal"/>
    <w:next w:val="Normal"/>
    <w:qFormat/>
    <w:rsid w:val="00565205"/>
    <w:pPr>
      <w:keepNext/>
      <w:spacing w:before="240" w:after="60"/>
      <w:outlineLvl w:val="3"/>
    </w:pPr>
    <w:rPr>
      <w:b/>
      <w:bCs/>
      <w:sz w:val="28"/>
      <w:szCs w:val="28"/>
    </w:rPr>
  </w:style>
  <w:style w:type="paragraph" w:styleId="Heading5">
    <w:name w:val="heading 5"/>
    <w:basedOn w:val="Normal"/>
    <w:next w:val="Normal"/>
    <w:qFormat/>
    <w:rsid w:val="00E95A9F"/>
    <w:pPr>
      <w:keepNext/>
      <w:spacing w:before="120" w:after="120" w:line="360" w:lineRule="auto"/>
      <w:jc w:val="center"/>
      <w:outlineLvl w:val="4"/>
    </w:pPr>
    <w:rPr>
      <w:rFonts w:ascii="Tahoma" w:hAnsi="Tahoma" w:cs="Tahoma"/>
      <w:b/>
      <w:bCs/>
      <w:i/>
      <w:iCs/>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A9F"/>
    <w:pPr>
      <w:tabs>
        <w:tab w:val="center" w:pos="4320"/>
        <w:tab w:val="right" w:pos="8640"/>
      </w:tabs>
    </w:pPr>
  </w:style>
  <w:style w:type="paragraph" w:styleId="Footer">
    <w:name w:val="footer"/>
    <w:basedOn w:val="Normal"/>
    <w:link w:val="FooterChar"/>
    <w:uiPriority w:val="99"/>
    <w:rsid w:val="00E95A9F"/>
    <w:pPr>
      <w:tabs>
        <w:tab w:val="center" w:pos="4320"/>
        <w:tab w:val="right" w:pos="8640"/>
      </w:tabs>
    </w:pPr>
  </w:style>
  <w:style w:type="character" w:styleId="PageNumber">
    <w:name w:val="page number"/>
    <w:basedOn w:val="DefaultParagraphFont"/>
    <w:rsid w:val="00E95A9F"/>
  </w:style>
  <w:style w:type="paragraph" w:styleId="BodyText2">
    <w:name w:val="Body Text 2"/>
    <w:basedOn w:val="Normal"/>
    <w:rsid w:val="00E95A9F"/>
    <w:pPr>
      <w:spacing w:before="120" w:line="240" w:lineRule="exact"/>
      <w:jc w:val="both"/>
    </w:pPr>
    <w:rPr>
      <w:rFonts w:ascii="Tahoma" w:hAnsi="Tahoma" w:cs="Tahoma"/>
      <w:b/>
      <w:bCs/>
      <w:sz w:val="20"/>
    </w:rPr>
  </w:style>
  <w:style w:type="paragraph" w:styleId="FootnoteText">
    <w:name w:val="footnote text"/>
    <w:basedOn w:val="Normal"/>
    <w:link w:val="FootnoteTextChar"/>
    <w:rsid w:val="00E95A9F"/>
    <w:rPr>
      <w:sz w:val="20"/>
      <w:szCs w:val="20"/>
    </w:rPr>
  </w:style>
  <w:style w:type="character" w:styleId="FootnoteReference">
    <w:name w:val="footnote reference"/>
    <w:rsid w:val="00E95A9F"/>
    <w:rPr>
      <w:vertAlign w:val="superscript"/>
    </w:rPr>
  </w:style>
  <w:style w:type="paragraph" w:styleId="BodyText">
    <w:name w:val="Body Text"/>
    <w:basedOn w:val="Normal"/>
    <w:rsid w:val="00E95A9F"/>
    <w:pPr>
      <w:spacing w:before="120" w:line="260" w:lineRule="exact"/>
      <w:jc w:val="both"/>
    </w:pPr>
    <w:rPr>
      <w:rFonts w:ascii="Tahoma" w:hAnsi="Tahoma" w:cs="Tahoma"/>
      <w:sz w:val="20"/>
    </w:rPr>
  </w:style>
  <w:style w:type="paragraph" w:styleId="BalloonText">
    <w:name w:val="Balloon Text"/>
    <w:basedOn w:val="Normal"/>
    <w:semiHidden/>
    <w:rsid w:val="007E6436"/>
    <w:rPr>
      <w:rFonts w:ascii="Tahoma" w:hAnsi="Tahoma" w:cs="Tahoma"/>
      <w:sz w:val="16"/>
      <w:szCs w:val="16"/>
    </w:rPr>
  </w:style>
  <w:style w:type="character" w:customStyle="1" w:styleId="FooterChar">
    <w:name w:val="Footer Char"/>
    <w:basedOn w:val="DefaultParagraphFont"/>
    <w:link w:val="Footer"/>
    <w:uiPriority w:val="99"/>
    <w:rsid w:val="00A138DE"/>
    <w:rPr>
      <w:sz w:val="24"/>
      <w:szCs w:val="24"/>
      <w:lang w:bidi="ar-SA"/>
    </w:rPr>
  </w:style>
  <w:style w:type="table" w:styleId="TableGrid">
    <w:name w:val="Table Grid"/>
    <w:basedOn w:val="TableNormal"/>
    <w:rsid w:val="00027204"/>
    <w:rPr>
      <w:lang w:val="en-IN" w:eastAsia="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204"/>
    <w:pPr>
      <w:ind w:left="720"/>
      <w:contextualSpacing/>
    </w:pPr>
  </w:style>
  <w:style w:type="character" w:customStyle="1" w:styleId="FootnoteTextChar">
    <w:name w:val="Footnote Text Char"/>
    <w:link w:val="FootnoteText"/>
    <w:rsid w:val="00A70BCB"/>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t:lpstr>
    </vt:vector>
  </TitlesOfParts>
  <Company>XLRI</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Kakani</dc:creator>
  <cp:lastModifiedBy>xl-001</cp:lastModifiedBy>
  <cp:revision>42</cp:revision>
  <cp:lastPrinted>2016-04-24T12:32:00Z</cp:lastPrinted>
  <dcterms:created xsi:type="dcterms:W3CDTF">2013-06-20T03:25:00Z</dcterms:created>
  <dcterms:modified xsi:type="dcterms:W3CDTF">2016-04-24T12:32:00Z</dcterms:modified>
</cp:coreProperties>
</file>